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25AC44FA" w:rsidR="006468DE" w:rsidRPr="00F604A5" w:rsidRDefault="004D53A0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March </w:t>
            </w:r>
            <w:r w:rsidR="00340830">
              <w:rPr>
                <w:rFonts w:eastAsia="Times New Roman"/>
                <w:color w:val="444444"/>
              </w:rPr>
              <w:t>17</w:t>
            </w:r>
            <w:r w:rsidR="00340830" w:rsidRPr="00340830">
              <w:rPr>
                <w:rFonts w:eastAsia="Times New Roman"/>
                <w:color w:val="444444"/>
                <w:vertAlign w:val="superscript"/>
              </w:rPr>
              <w:t>th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6EDBF6EC" w:rsidR="00AD4270" w:rsidRDefault="00340830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Three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0932DA12" w14:textId="0C8081D6" w:rsidR="005B6CDA" w:rsidRDefault="00340830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EA6558">
              <w:rPr>
                <w:b/>
                <w:bCs/>
                <w:sz w:val="28"/>
                <w:szCs w:val="28"/>
              </w:rPr>
              <w:t xml:space="preserve">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D5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763468" w14:textId="77777777" w:rsidR="00340830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340830">
              <w:t>three</w:t>
            </w:r>
            <w:r w:rsidR="001175E4">
              <w:t xml:space="preserve"> </w:t>
            </w:r>
            <w:r>
              <w:t>additional death</w:t>
            </w:r>
            <w:r w:rsidR="00340830">
              <w:t>s</w:t>
            </w:r>
            <w:r w:rsidR="00EC23BF">
              <w:t>.</w:t>
            </w:r>
            <w:r w:rsidR="00C168C1">
              <w:t xml:space="preserve">  La Paz County has had a total of </w:t>
            </w:r>
            <w:r w:rsidR="004D53A0">
              <w:t>13</w:t>
            </w:r>
            <w:r w:rsidR="00340830">
              <w:t>7</w:t>
            </w:r>
            <w:r w:rsidR="004D53A0">
              <w:t xml:space="preserve"> </w:t>
            </w:r>
            <w:r w:rsidR="00C168C1">
              <w:t>deaths, due to Covid-19.</w:t>
            </w:r>
          </w:p>
          <w:p w14:paraId="632FE5F1" w14:textId="77777777" w:rsidR="00340830" w:rsidRDefault="00340830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individual was within the Bouse service district, over the age of 65 years old, hospitalized within the county, with underlying health conditions.</w:t>
            </w:r>
          </w:p>
          <w:p w14:paraId="43953B3F" w14:textId="04831775" w:rsidR="00DB5E78" w:rsidRDefault="00340830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individual was within the McMullen Valley service district, over the age of 65 years old, hospitalized outside of the county, with underlying health conditions.</w:t>
            </w:r>
            <w:r w:rsidR="006A3882">
              <w:t xml:space="preserve"> </w:t>
            </w:r>
            <w:r w:rsidR="00865C19">
              <w:t xml:space="preserve">  </w:t>
            </w:r>
          </w:p>
          <w:p w14:paraId="2C9CE643" w14:textId="061F9929" w:rsidR="00DE52FB" w:rsidRDefault="00340830" w:rsidP="005571A6">
            <w:pPr>
              <w:pStyle w:val="NormalWeb"/>
              <w:spacing w:before="0" w:beforeAutospacing="0" w:after="150" w:afterAutospacing="0" w:line="360" w:lineRule="auto"/>
            </w:pPr>
            <w:r>
              <w:t>The remaining</w:t>
            </w:r>
            <w:r w:rsidR="00EA6558">
              <w:t xml:space="preserve"> </w:t>
            </w:r>
            <w:r w:rsidR="00DE52FB">
              <w:t>individual</w:t>
            </w:r>
            <w:r w:rsidR="004D53A0">
              <w:t xml:space="preserve"> was</w:t>
            </w:r>
            <w:r w:rsidR="00DE52FB">
              <w:t xml:space="preserve"> within the Colorado River Indian Tribes service district.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0E8A8965" w:rsidR="004A3136" w:rsidRDefault="004D53A0" w:rsidP="005571A6">
            <w:pPr>
              <w:pStyle w:val="NormalWeb"/>
              <w:spacing w:before="0" w:beforeAutospacing="0" w:after="150" w:afterAutospacing="0" w:line="360" w:lineRule="auto"/>
            </w:pPr>
            <w:r>
              <w:t>ADHS has transitioned from daily case reporting, to now weekly.  O</w:t>
            </w:r>
            <w:r w:rsidR="00197F9C">
              <w:t xml:space="preserve">ur county has </w:t>
            </w:r>
            <w:r>
              <w:t xml:space="preserve">had </w:t>
            </w:r>
            <w:r w:rsidR="00340830">
              <w:t>11</w:t>
            </w:r>
            <w:r w:rsidR="00EC23BF">
              <w:t xml:space="preserve"> new </w:t>
            </w:r>
            <w:r w:rsidR="009F22C4"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 xml:space="preserve"> in one week</w:t>
            </w:r>
            <w:r w:rsidR="009F22C4"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629A8">
              <w:t>5,</w:t>
            </w:r>
            <w:r w:rsidR="00340830">
              <w:t>161</w:t>
            </w:r>
            <w:r w:rsidR="005E155C">
              <w:t xml:space="preserve"> cases.  </w:t>
            </w:r>
            <w:r w:rsidR="00340830">
              <w:t>Four</w:t>
            </w:r>
            <w:r w:rsidR="00B22847">
              <w:t xml:space="preserve"> individuals are in the Parker service district and within the age group</w:t>
            </w:r>
            <w:r w:rsidR="009F22C4">
              <w:t>s</w:t>
            </w:r>
            <w:r w:rsidR="00B22847">
              <w:t xml:space="preserve"> of</w:t>
            </w:r>
            <w:r w:rsidR="003629A8">
              <w:t xml:space="preserve"> </w:t>
            </w:r>
            <w:r w:rsidR="00340830">
              <w:t xml:space="preserve">under 20, 20-44 and 45-54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</w:t>
            </w:r>
            <w:r w:rsidR="00340830">
              <w:t>One</w:t>
            </w:r>
            <w:r w:rsidR="003629A8">
              <w:t xml:space="preserve"> individual</w:t>
            </w:r>
            <w:r w:rsidR="00340830">
              <w:t xml:space="preserve"> is</w:t>
            </w:r>
            <w:r w:rsidR="003629A8">
              <w:t xml:space="preserve"> in the Quartzsite service district </w:t>
            </w:r>
            <w:r w:rsidR="00C94603">
              <w:t xml:space="preserve">and </w:t>
            </w:r>
            <w:r w:rsidR="003629A8">
              <w:t xml:space="preserve">over </w:t>
            </w:r>
            <w:r w:rsidR="00340830">
              <w:t xml:space="preserve">the age of </w:t>
            </w:r>
            <w:r w:rsidR="003629A8">
              <w:t xml:space="preserve">65 years old.  </w:t>
            </w:r>
            <w:r w:rsidR="00340830">
              <w:t>One</w:t>
            </w:r>
            <w:r w:rsidR="003629A8">
              <w:t xml:space="preserve"> individual</w:t>
            </w:r>
            <w:r w:rsidR="00340830">
              <w:t xml:space="preserve"> is</w:t>
            </w:r>
            <w:r w:rsidR="003629A8">
              <w:t xml:space="preserve"> in the Buckskin service district and within the age group</w:t>
            </w:r>
            <w:r w:rsidR="00340830">
              <w:t xml:space="preserve"> of 45-54</w:t>
            </w:r>
            <w:r w:rsidR="003629A8">
              <w:t xml:space="preserve"> years old.  </w:t>
            </w:r>
            <w:r w:rsidR="000E3716">
              <w:t>Two</w:t>
            </w:r>
            <w:r w:rsidR="003629A8">
              <w:t xml:space="preserve"> </w:t>
            </w:r>
            <w:r w:rsidR="00E85448">
              <w:t>individual</w:t>
            </w:r>
            <w:r w:rsidR="003629A8">
              <w:t>s are</w:t>
            </w:r>
            <w:r w:rsidR="00E85448">
              <w:t xml:space="preserve"> </w:t>
            </w:r>
            <w:r w:rsidR="003629A8">
              <w:t>with</w:t>
            </w:r>
            <w:r w:rsidR="00E85448">
              <w:t xml:space="preserve">in the </w:t>
            </w:r>
            <w:r w:rsidR="003629A8">
              <w:t>Colorado River Indian Tribes service district.</w:t>
            </w:r>
            <w:r>
              <w:t xml:space="preserve">  The remaining </w:t>
            </w:r>
            <w:r w:rsidR="000E3716">
              <w:t xml:space="preserve">three </w:t>
            </w:r>
            <w:r>
              <w:t>individual</w:t>
            </w:r>
            <w:r w:rsidR="000E3716">
              <w:t>s</w:t>
            </w:r>
            <w:r>
              <w:t xml:space="preserve"> </w:t>
            </w:r>
            <w:r w:rsidR="000E3716">
              <w:t>are</w:t>
            </w:r>
            <w:r>
              <w:t xml:space="preserve"> in an unknown service district and </w:t>
            </w:r>
            <w:r w:rsidR="000E3716">
              <w:t xml:space="preserve">within the age groups of </w:t>
            </w:r>
            <w:r>
              <w:t>20</w:t>
            </w:r>
            <w:r w:rsidR="000E3716">
              <w:t xml:space="preserve">-44, 45-54 </w:t>
            </w:r>
            <w:proofErr w:type="spellStart"/>
            <w:r w:rsidR="000E3716">
              <w:t>amd</w:t>
            </w:r>
            <w:proofErr w:type="spellEnd"/>
            <w:r w:rsidR="000E3716">
              <w:t xml:space="preserve"> over 65</w:t>
            </w:r>
            <w:r>
              <w:t xml:space="preserve"> years old.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 xml:space="preserve">ur cough or sneeze with a tissue and clean and </w:t>
            </w:r>
            <w:r w:rsidRPr="00BB6D5C">
              <w:rPr>
                <w:rStyle w:val="normaltextrun"/>
                <w:color w:val="000000"/>
              </w:rPr>
              <w:lastRenderedPageBreak/>
              <w:t>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0E3716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0830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3A0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2022-03-17T21:17:00Z</dcterms:created>
  <dcterms:modified xsi:type="dcterms:W3CDTF">2022-03-17T21:17:00Z</dcterms:modified>
</cp:coreProperties>
</file>